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D2" w:rsidRDefault="00996ED2" w:rsidP="00996ED2">
      <w:pPr>
        <w:pStyle w:val="Ttulo"/>
        <w:rPr>
          <w:rFonts w:ascii="Arial" w:hAnsi="Arial" w:cs="Arial"/>
        </w:rPr>
      </w:pPr>
    </w:p>
    <w:p w:rsidR="00996ED2" w:rsidRDefault="00996ED2" w:rsidP="00996ED2">
      <w:pPr>
        <w:pStyle w:val="Ttulo"/>
        <w:rPr>
          <w:rFonts w:ascii="Arial" w:hAnsi="Arial" w:cs="Arial"/>
        </w:rPr>
      </w:pPr>
    </w:p>
    <w:p w:rsidR="00996ED2" w:rsidRDefault="00957A18" w:rsidP="00996ED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LEI MUNICIPAL Nº 2.483</w:t>
      </w:r>
      <w:r w:rsidR="00996ED2">
        <w:rPr>
          <w:rFonts w:ascii="Arial" w:hAnsi="Arial" w:cs="Arial"/>
        </w:rPr>
        <w:t>/2015</w:t>
      </w:r>
    </w:p>
    <w:p w:rsidR="00996ED2" w:rsidRDefault="00996ED2" w:rsidP="00996ED2">
      <w:pPr>
        <w:jc w:val="center"/>
        <w:rPr>
          <w:rFonts w:cs="Arial"/>
          <w:sz w:val="22"/>
        </w:rPr>
      </w:pPr>
    </w:p>
    <w:p w:rsidR="00996ED2" w:rsidRDefault="00996ED2" w:rsidP="00996ED2">
      <w:pPr>
        <w:jc w:val="both"/>
        <w:rPr>
          <w:rFonts w:cs="Arial"/>
        </w:rPr>
      </w:pPr>
    </w:p>
    <w:p w:rsidR="00996ED2" w:rsidRDefault="00996ED2" w:rsidP="00996ED2">
      <w:pPr>
        <w:pStyle w:val="Recuodecorpodetexto"/>
        <w:ind w:left="4248"/>
        <w:rPr>
          <w:rFonts w:ascii="Arial" w:hAnsi="Arial" w:cs="Arial"/>
        </w:rPr>
      </w:pPr>
      <w:r>
        <w:rPr>
          <w:rFonts w:ascii="Arial" w:hAnsi="Arial" w:cs="Arial"/>
        </w:rPr>
        <w:t>Estima a Receita e fixa a Despesa do Município de Praia Grande para o exercício financeiro de 2016.</w:t>
      </w:r>
    </w:p>
    <w:p w:rsidR="00996ED2" w:rsidRDefault="00996ED2" w:rsidP="00996ED2">
      <w:pPr>
        <w:pStyle w:val="Recuodecorpodetexto"/>
        <w:ind w:left="4248"/>
        <w:rPr>
          <w:rFonts w:ascii="Arial" w:hAnsi="Arial" w:cs="Arial"/>
        </w:rPr>
      </w:pPr>
    </w:p>
    <w:p w:rsidR="00996ED2" w:rsidRDefault="00996ED2" w:rsidP="00996ED2">
      <w:pPr>
        <w:pStyle w:val="Recuodecorpodetexto"/>
        <w:ind w:left="4248"/>
        <w:rPr>
          <w:rFonts w:ascii="Arial" w:hAnsi="Arial" w:cs="Arial"/>
        </w:rPr>
      </w:pPr>
    </w:p>
    <w:p w:rsidR="00996ED2" w:rsidRDefault="00996ED2" w:rsidP="00996ED2">
      <w:pPr>
        <w:pStyle w:val="Recuodecorpodetexto"/>
        <w:ind w:left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39E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O Prefeito Municipal de Praia Grande-SC, Senhor </w:t>
      </w:r>
      <w:proofErr w:type="spellStart"/>
      <w:r>
        <w:rPr>
          <w:rFonts w:ascii="Arial" w:hAnsi="Arial" w:cs="Arial"/>
        </w:rPr>
        <w:t>Valcir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Daros</w:t>
      </w:r>
      <w:proofErr w:type="spellEnd"/>
      <w:r>
        <w:rPr>
          <w:rFonts w:ascii="Arial" w:hAnsi="Arial" w:cs="Arial"/>
        </w:rPr>
        <w:t xml:space="preserve"> no exercício de suas atribuições legais, faz saber a todos os habitantes que a Câmara Municipal aprovou e ele sanciona a seguinte lei.</w:t>
      </w:r>
    </w:p>
    <w:p w:rsidR="00996ED2" w:rsidRDefault="00996ED2" w:rsidP="00996ED2">
      <w:pPr>
        <w:ind w:left="1134"/>
        <w:jc w:val="both"/>
        <w:rPr>
          <w:rFonts w:cs="Arial"/>
        </w:rPr>
      </w:pPr>
    </w:p>
    <w:p w:rsidR="00996ED2" w:rsidRDefault="00996ED2" w:rsidP="006348EF">
      <w:pPr>
        <w:pStyle w:val="Recuodecorpodetexto2"/>
        <w:ind w:left="1134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proofErr w:type="gramStart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Esta Lei estima a Receita e fixa a Despesa do Município de Praia Grande para o exercício financeiro de 2016, compreendendo o Orçamento Fiscal e da Seguridade Social, abrangendo os Poderes Executivo e Legislativo e seus Fundos e Autarquias, no montante de R$ 25.557.619,71 (Vinte e cinco milhões, quinhentos e cinqüenta e sete mil, seiscentos e dezenove reais e setenta e um centavos).</w:t>
      </w:r>
    </w:p>
    <w:p w:rsidR="00996ED2" w:rsidRDefault="00996ED2" w:rsidP="00996ED2">
      <w:pPr>
        <w:spacing w:after="120"/>
        <w:ind w:left="1134" w:firstLine="709"/>
        <w:jc w:val="both"/>
        <w:rPr>
          <w:rFonts w:cs="Arial"/>
        </w:rPr>
      </w:pPr>
      <w:r>
        <w:rPr>
          <w:rFonts w:cs="Arial"/>
          <w:b/>
        </w:rPr>
        <w:t xml:space="preserve">Art. 2º </w:t>
      </w:r>
      <w:r>
        <w:rPr>
          <w:rFonts w:cs="Arial"/>
        </w:rPr>
        <w:t xml:space="preserve"> As Receitas são decorrentes da arrecadação de tributos, contribuições, transferências constitucionais e outras receitas correntes e de capital, previstas na legislação vigente e discriminadas nos demonstrativos da Lei 4.320/64, de forma  consolidada, com o seguinte desdobramento: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670"/>
        <w:gridCol w:w="2809"/>
      </w:tblGrid>
      <w:tr w:rsidR="00996ED2" w:rsidTr="00AD2815">
        <w:tc>
          <w:tcPr>
            <w:tcW w:w="6670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</w:t>
            </w:r>
            <w:proofErr w:type="gramStart"/>
            <w:r>
              <w:rPr>
                <w:rFonts w:cs="Arial"/>
                <w:b/>
              </w:rPr>
              <w:t>1 – RECEITAS</w:t>
            </w:r>
            <w:proofErr w:type="gramEnd"/>
            <w:r>
              <w:rPr>
                <w:rFonts w:cs="Arial"/>
                <w:b/>
              </w:rPr>
              <w:t xml:space="preserve"> CORRENTES</w:t>
            </w:r>
          </w:p>
        </w:tc>
        <w:tc>
          <w:tcPr>
            <w:tcW w:w="2760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17.997.654,71</w:t>
            </w:r>
          </w:p>
        </w:tc>
      </w:tr>
      <w:tr w:rsidR="00996ED2" w:rsidTr="00AD2815">
        <w:tc>
          <w:tcPr>
            <w:tcW w:w="6670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  - Receita tributária</w:t>
            </w:r>
          </w:p>
        </w:tc>
        <w:tc>
          <w:tcPr>
            <w:tcW w:w="2760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1.210.858,81</w:t>
            </w:r>
          </w:p>
        </w:tc>
      </w:tr>
      <w:tr w:rsidR="00996ED2" w:rsidTr="00AD2815">
        <w:tc>
          <w:tcPr>
            <w:tcW w:w="6670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  - Receitas de Contribuições</w:t>
            </w:r>
          </w:p>
        </w:tc>
        <w:tc>
          <w:tcPr>
            <w:tcW w:w="2760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101.312,00</w:t>
            </w:r>
          </w:p>
        </w:tc>
      </w:tr>
      <w:tr w:rsidR="00996ED2" w:rsidTr="00AD2815">
        <w:tc>
          <w:tcPr>
            <w:tcW w:w="6670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 xml:space="preserve">                 - Receita Patrimonial</w:t>
            </w:r>
          </w:p>
        </w:tc>
        <w:tc>
          <w:tcPr>
            <w:tcW w:w="2760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100.899,00</w:t>
            </w:r>
          </w:p>
        </w:tc>
      </w:tr>
      <w:tr w:rsidR="00996ED2" w:rsidTr="00AD2815">
        <w:tc>
          <w:tcPr>
            <w:tcW w:w="6670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                 - Receita de Serviços</w:t>
            </w:r>
          </w:p>
        </w:tc>
        <w:tc>
          <w:tcPr>
            <w:tcW w:w="2760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1.176.836,00</w:t>
            </w:r>
          </w:p>
        </w:tc>
      </w:tr>
      <w:tr w:rsidR="00996ED2" w:rsidTr="00AD2815">
        <w:tc>
          <w:tcPr>
            <w:tcW w:w="6670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  - Transferências Correntes</w:t>
            </w:r>
          </w:p>
        </w:tc>
        <w:tc>
          <w:tcPr>
            <w:tcW w:w="2760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15.184.910,00</w:t>
            </w:r>
          </w:p>
        </w:tc>
      </w:tr>
      <w:tr w:rsidR="00996ED2" w:rsidTr="00AD2815">
        <w:tc>
          <w:tcPr>
            <w:tcW w:w="6670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    - Outras Receitas Correntes</w:t>
            </w:r>
          </w:p>
        </w:tc>
        <w:tc>
          <w:tcPr>
            <w:tcW w:w="2760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222.838,90</w:t>
            </w:r>
          </w:p>
        </w:tc>
      </w:tr>
      <w:tr w:rsidR="00996ED2" w:rsidTr="00AD2815">
        <w:tc>
          <w:tcPr>
            <w:tcW w:w="6670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2 – RECEITAS DE CAPITAL</w:t>
            </w:r>
          </w:p>
        </w:tc>
        <w:tc>
          <w:tcPr>
            <w:tcW w:w="2760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7.559.965,00</w:t>
            </w:r>
          </w:p>
        </w:tc>
      </w:tr>
      <w:tr w:rsidR="00996ED2" w:rsidTr="00AD2815">
        <w:tc>
          <w:tcPr>
            <w:tcW w:w="6670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- Operações de Crédito</w:t>
            </w:r>
          </w:p>
        </w:tc>
        <w:tc>
          <w:tcPr>
            <w:tcW w:w="2760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0,00</w:t>
            </w:r>
          </w:p>
        </w:tc>
      </w:tr>
      <w:tr w:rsidR="00996ED2" w:rsidTr="00AD2815">
        <w:tc>
          <w:tcPr>
            <w:tcW w:w="6670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- Transferências de capital</w:t>
            </w:r>
          </w:p>
        </w:tc>
        <w:tc>
          <w:tcPr>
            <w:tcW w:w="2760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7.559.965,00</w:t>
            </w:r>
          </w:p>
        </w:tc>
      </w:tr>
      <w:tr w:rsidR="00996ED2" w:rsidTr="00AD2815">
        <w:tc>
          <w:tcPr>
            <w:tcW w:w="6670" w:type="dxa"/>
          </w:tcPr>
          <w:p w:rsidR="00996ED2" w:rsidRDefault="00996ED2" w:rsidP="001D39E8">
            <w:pPr>
              <w:spacing w:after="120"/>
              <w:ind w:left="1134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>TOTAL</w:t>
            </w:r>
          </w:p>
        </w:tc>
        <w:tc>
          <w:tcPr>
            <w:tcW w:w="2760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25.557.619,71</w:t>
            </w:r>
          </w:p>
        </w:tc>
      </w:tr>
    </w:tbl>
    <w:p w:rsidR="001D39E8" w:rsidRDefault="001D39E8" w:rsidP="001D39E8">
      <w:pPr>
        <w:spacing w:after="120"/>
        <w:ind w:left="1134" w:hanging="709"/>
        <w:jc w:val="both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996ED2">
        <w:rPr>
          <w:rFonts w:cs="Arial"/>
          <w:b/>
        </w:rPr>
        <w:tab/>
      </w:r>
      <w:r>
        <w:rPr>
          <w:rFonts w:cs="Arial"/>
          <w:b/>
        </w:rPr>
        <w:t xml:space="preserve">            </w:t>
      </w:r>
    </w:p>
    <w:p w:rsidR="00996ED2" w:rsidRDefault="001D39E8" w:rsidP="001D39E8">
      <w:pPr>
        <w:spacing w:after="120"/>
        <w:ind w:left="1134" w:firstLine="282"/>
        <w:jc w:val="both"/>
        <w:rPr>
          <w:rFonts w:cs="Arial"/>
          <w:bCs/>
        </w:rPr>
      </w:pPr>
      <w:r>
        <w:rPr>
          <w:rFonts w:cs="Arial"/>
          <w:b/>
        </w:rPr>
        <w:t xml:space="preserve">        </w:t>
      </w:r>
      <w:r w:rsidR="00996ED2">
        <w:rPr>
          <w:rFonts w:cs="Arial"/>
          <w:b/>
        </w:rPr>
        <w:t xml:space="preserve">Parágrafo único. </w:t>
      </w:r>
      <w:r w:rsidR="00996ED2">
        <w:rPr>
          <w:rFonts w:cs="Arial"/>
          <w:bCs/>
        </w:rPr>
        <w:t>Integrará esta Lei a estimativa da Receita Orçamentária de cada Unidade Gestora da administração direta e indireta, individualizada, na forma dos demonstrativos da Lei 4.320/64.</w:t>
      </w:r>
    </w:p>
    <w:p w:rsidR="00996ED2" w:rsidRDefault="00996ED2" w:rsidP="001D39E8">
      <w:pPr>
        <w:spacing w:after="120"/>
        <w:ind w:left="1134" w:hanging="709"/>
        <w:jc w:val="both"/>
        <w:rPr>
          <w:rFonts w:cs="Arial"/>
        </w:rPr>
      </w:pPr>
      <w:r>
        <w:rPr>
          <w:rFonts w:cs="Arial"/>
          <w:b/>
        </w:rPr>
        <w:t xml:space="preserve">    </w:t>
      </w:r>
      <w:r>
        <w:rPr>
          <w:rFonts w:cs="Arial"/>
        </w:rPr>
        <w:tab/>
      </w:r>
      <w:r w:rsidR="001D39E8">
        <w:rPr>
          <w:rFonts w:cs="Arial"/>
        </w:rPr>
        <w:t xml:space="preserve">            </w:t>
      </w:r>
      <w:r>
        <w:rPr>
          <w:rFonts w:cs="Arial"/>
          <w:b/>
        </w:rPr>
        <w:t>Art. 3º</w:t>
      </w:r>
      <w:proofErr w:type="gramStart"/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proofErr w:type="gramEnd"/>
      <w:r>
        <w:rPr>
          <w:rFonts w:cs="Arial"/>
        </w:rPr>
        <w:t>A Despesa fixada, detalhada em anexos à esta Lei conforme determina a Lei nº. 4.320, de 17 de março de 1964, está assim distribuída por Unidade Gestora e por Grupos de Natureza:</w:t>
      </w:r>
    </w:p>
    <w:p w:rsidR="00996ED2" w:rsidRDefault="00996ED2" w:rsidP="00996ED2">
      <w:pPr>
        <w:spacing w:after="120"/>
        <w:ind w:left="1134"/>
        <w:jc w:val="both"/>
        <w:rPr>
          <w:rFonts w:cs="Arial"/>
        </w:rPr>
      </w:pPr>
    </w:p>
    <w:p w:rsidR="00996ED2" w:rsidRDefault="00996ED2" w:rsidP="00996ED2">
      <w:pPr>
        <w:spacing w:after="120"/>
        <w:ind w:left="1134"/>
        <w:jc w:val="both"/>
        <w:rPr>
          <w:rFonts w:cs="Arial"/>
        </w:rPr>
      </w:pPr>
    </w:p>
    <w:p w:rsidR="001D39E8" w:rsidRDefault="001D39E8" w:rsidP="00996ED2">
      <w:pPr>
        <w:spacing w:after="120"/>
        <w:ind w:left="1134"/>
        <w:jc w:val="both"/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679"/>
        <w:gridCol w:w="2809"/>
      </w:tblGrid>
      <w:tr w:rsidR="00996ED2" w:rsidTr="00AD2815">
        <w:tc>
          <w:tcPr>
            <w:tcW w:w="6736" w:type="dxa"/>
          </w:tcPr>
          <w:p w:rsidR="00996ED2" w:rsidRDefault="00996ED2" w:rsidP="0078243C">
            <w:pPr>
              <w:ind w:left="1134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 xml:space="preserve">I </w:t>
            </w:r>
            <w:proofErr w:type="gramStart"/>
            <w:r>
              <w:rPr>
                <w:rFonts w:cs="Arial"/>
                <w:b/>
              </w:rPr>
              <w:t>–DESPESAS</w:t>
            </w:r>
            <w:proofErr w:type="gramEnd"/>
            <w:r>
              <w:rPr>
                <w:rFonts w:cs="Arial"/>
                <w:b/>
              </w:rPr>
              <w:t xml:space="preserve"> POR UNIDADE</w:t>
            </w:r>
            <w:r w:rsidR="0078243C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GESTORA</w:t>
            </w:r>
          </w:p>
        </w:tc>
        <w:tc>
          <w:tcPr>
            <w:tcW w:w="2809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</w:rPr>
            </w:pPr>
          </w:p>
        </w:tc>
      </w:tr>
      <w:tr w:rsidR="00996ED2" w:rsidTr="00AD2815">
        <w:tc>
          <w:tcPr>
            <w:tcW w:w="6736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  <w:t xml:space="preserve">     1 – PREFEITURA MUNICIPAL</w:t>
            </w:r>
          </w:p>
        </w:tc>
        <w:tc>
          <w:tcPr>
            <w:tcW w:w="2809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</w:rPr>
            </w:pPr>
            <w:r>
              <w:rPr>
                <w:rFonts w:cs="Arial"/>
              </w:rPr>
              <w:t>20.067.543,00</w:t>
            </w:r>
          </w:p>
        </w:tc>
      </w:tr>
      <w:tr w:rsidR="00996ED2" w:rsidTr="00AD2815">
        <w:tc>
          <w:tcPr>
            <w:tcW w:w="6736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</w:rPr>
            </w:pPr>
            <w:r>
              <w:rPr>
                <w:rFonts w:cs="Arial"/>
              </w:rPr>
              <w:tab/>
              <w:t xml:space="preserve">     </w:t>
            </w:r>
            <w:proofErr w:type="gramStart"/>
            <w:r>
              <w:rPr>
                <w:rFonts w:cs="Arial"/>
              </w:rPr>
              <w:t>2 – FUNDO</w:t>
            </w:r>
            <w:proofErr w:type="gramEnd"/>
            <w:r>
              <w:rPr>
                <w:rFonts w:cs="Arial"/>
              </w:rPr>
              <w:t xml:space="preserve"> MUNICIPAL DE SAÚDE</w:t>
            </w:r>
          </w:p>
        </w:tc>
        <w:tc>
          <w:tcPr>
            <w:tcW w:w="2809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</w:rPr>
            </w:pPr>
            <w:r>
              <w:rPr>
                <w:rFonts w:cs="Arial"/>
              </w:rPr>
              <w:t>3.480.976,71</w:t>
            </w:r>
          </w:p>
        </w:tc>
      </w:tr>
      <w:tr w:rsidR="00996ED2" w:rsidTr="00AD2815">
        <w:tc>
          <w:tcPr>
            <w:tcW w:w="6736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3 – SAMAE </w:t>
            </w:r>
          </w:p>
        </w:tc>
        <w:tc>
          <w:tcPr>
            <w:tcW w:w="2809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</w:rPr>
            </w:pPr>
            <w:r>
              <w:rPr>
                <w:rFonts w:cs="Arial"/>
              </w:rPr>
              <w:t>1.208.100,00</w:t>
            </w:r>
          </w:p>
        </w:tc>
      </w:tr>
      <w:tr w:rsidR="00996ED2" w:rsidTr="00AD2815">
        <w:tc>
          <w:tcPr>
            <w:tcW w:w="6736" w:type="dxa"/>
          </w:tcPr>
          <w:p w:rsidR="00996ED2" w:rsidRDefault="00996ED2" w:rsidP="0078243C">
            <w:pPr>
              <w:ind w:left="11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proofErr w:type="gramStart"/>
            <w:r>
              <w:rPr>
                <w:rFonts w:cs="Arial"/>
              </w:rPr>
              <w:t>4</w:t>
            </w:r>
            <w:proofErr w:type="gramEnd"/>
            <w:r>
              <w:rPr>
                <w:rFonts w:cs="Arial"/>
              </w:rPr>
              <w:t xml:space="preserve"> CÂMARA MUNIC DE VEREADORES</w:t>
            </w:r>
          </w:p>
        </w:tc>
        <w:tc>
          <w:tcPr>
            <w:tcW w:w="2809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</w:rPr>
            </w:pPr>
            <w:r>
              <w:rPr>
                <w:rFonts w:cs="Arial"/>
              </w:rPr>
              <w:t>801.000,00</w:t>
            </w:r>
          </w:p>
        </w:tc>
      </w:tr>
      <w:tr w:rsidR="00996ED2" w:rsidTr="00AD2815">
        <w:tc>
          <w:tcPr>
            <w:tcW w:w="6736" w:type="dxa"/>
          </w:tcPr>
          <w:p w:rsidR="00996ED2" w:rsidRDefault="00996ED2" w:rsidP="00AD2815">
            <w:pPr>
              <w:spacing w:after="120"/>
              <w:ind w:left="11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</w:t>
            </w:r>
            <w:r>
              <w:rPr>
                <w:rFonts w:cs="Arial"/>
                <w:b/>
              </w:rPr>
              <w:t>TOTAL</w:t>
            </w:r>
          </w:p>
        </w:tc>
        <w:tc>
          <w:tcPr>
            <w:tcW w:w="2809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25.557.619,71</w:t>
            </w:r>
          </w:p>
        </w:tc>
      </w:tr>
      <w:tr w:rsidR="00996ED2" w:rsidTr="00AD2815">
        <w:tc>
          <w:tcPr>
            <w:tcW w:w="6736" w:type="dxa"/>
          </w:tcPr>
          <w:p w:rsidR="00996ED2" w:rsidRDefault="00996ED2" w:rsidP="0078243C">
            <w:pPr>
              <w:ind w:left="1134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 II–</w:t>
            </w:r>
            <w:proofErr w:type="spellStart"/>
            <w:r>
              <w:rPr>
                <w:rFonts w:cs="Arial"/>
                <w:b/>
              </w:rPr>
              <w:t>ESP.PORGRUPOSDENATUREZA</w:t>
            </w:r>
            <w:proofErr w:type="spellEnd"/>
          </w:p>
        </w:tc>
        <w:tc>
          <w:tcPr>
            <w:tcW w:w="2809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</w:rPr>
            </w:pPr>
          </w:p>
        </w:tc>
      </w:tr>
      <w:tr w:rsidR="00996ED2" w:rsidTr="00AD2815">
        <w:tc>
          <w:tcPr>
            <w:tcW w:w="6736" w:type="dxa"/>
          </w:tcPr>
          <w:p w:rsidR="00996ED2" w:rsidRDefault="00996ED2" w:rsidP="00AD2815">
            <w:pPr>
              <w:ind w:left="1134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  <w:b/>
              </w:rPr>
              <w:t>DESPESAS CORRENTES</w:t>
            </w:r>
          </w:p>
        </w:tc>
        <w:tc>
          <w:tcPr>
            <w:tcW w:w="2809" w:type="dxa"/>
          </w:tcPr>
          <w:p w:rsidR="00996ED2" w:rsidRPr="003A5992" w:rsidRDefault="00996ED2" w:rsidP="00AD2815">
            <w:pPr>
              <w:ind w:left="1134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16.774.817,71</w:t>
            </w:r>
          </w:p>
        </w:tc>
      </w:tr>
      <w:tr w:rsidR="00996ED2" w:rsidTr="00AD2815">
        <w:tc>
          <w:tcPr>
            <w:tcW w:w="6736" w:type="dxa"/>
          </w:tcPr>
          <w:p w:rsidR="00996ED2" w:rsidRDefault="00996ED2" w:rsidP="001D39E8">
            <w:pPr>
              <w:ind w:left="1134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 Pessoal e Encargos Sociais</w:t>
            </w:r>
          </w:p>
        </w:tc>
        <w:tc>
          <w:tcPr>
            <w:tcW w:w="2809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</w:rPr>
            </w:pPr>
            <w:r>
              <w:rPr>
                <w:rFonts w:cs="Arial"/>
              </w:rPr>
              <w:t>9.580.784,00</w:t>
            </w:r>
          </w:p>
        </w:tc>
      </w:tr>
      <w:tr w:rsidR="00996ED2" w:rsidTr="00AD2815">
        <w:tc>
          <w:tcPr>
            <w:tcW w:w="6736" w:type="dxa"/>
          </w:tcPr>
          <w:p w:rsidR="00996ED2" w:rsidRDefault="00996ED2" w:rsidP="001D39E8">
            <w:pPr>
              <w:ind w:left="1134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            </w:t>
            </w:r>
            <w:r w:rsidR="001D39E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</w:rPr>
              <w:t>Juros e Encargos da Dívida</w:t>
            </w:r>
          </w:p>
        </w:tc>
        <w:tc>
          <w:tcPr>
            <w:tcW w:w="2809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</w:rPr>
            </w:pPr>
            <w:r>
              <w:rPr>
                <w:rFonts w:cs="Arial"/>
              </w:rPr>
              <w:t>69.000,00</w:t>
            </w:r>
          </w:p>
        </w:tc>
      </w:tr>
      <w:tr w:rsidR="00996ED2" w:rsidTr="00AD2815">
        <w:tc>
          <w:tcPr>
            <w:tcW w:w="6736" w:type="dxa"/>
          </w:tcPr>
          <w:p w:rsidR="00996ED2" w:rsidRDefault="00996ED2" w:rsidP="001D39E8">
            <w:pPr>
              <w:ind w:left="1134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             </w:t>
            </w:r>
            <w:r>
              <w:rPr>
                <w:rFonts w:cs="Arial"/>
                <w:bCs/>
              </w:rPr>
              <w:t>Outras Despesas Correntes</w:t>
            </w:r>
          </w:p>
        </w:tc>
        <w:tc>
          <w:tcPr>
            <w:tcW w:w="2809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</w:rPr>
            </w:pPr>
            <w:r>
              <w:rPr>
                <w:rFonts w:cs="Arial"/>
              </w:rPr>
              <w:t>7.125.033,71</w:t>
            </w:r>
          </w:p>
        </w:tc>
      </w:tr>
      <w:tr w:rsidR="00996ED2" w:rsidTr="00AD2815">
        <w:tc>
          <w:tcPr>
            <w:tcW w:w="6736" w:type="dxa"/>
          </w:tcPr>
          <w:p w:rsidR="00996ED2" w:rsidRDefault="00996ED2" w:rsidP="001D39E8">
            <w:pPr>
              <w:ind w:left="1134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             </w:t>
            </w:r>
            <w:r>
              <w:rPr>
                <w:rFonts w:cs="Arial"/>
                <w:b/>
                <w:bCs/>
              </w:rPr>
              <w:t>DESPESAS DE CAPITAL</w:t>
            </w:r>
          </w:p>
        </w:tc>
        <w:tc>
          <w:tcPr>
            <w:tcW w:w="2809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8.777.802,00</w:t>
            </w:r>
          </w:p>
        </w:tc>
      </w:tr>
      <w:tr w:rsidR="00996ED2" w:rsidTr="00AD2815">
        <w:tc>
          <w:tcPr>
            <w:tcW w:w="6736" w:type="dxa"/>
          </w:tcPr>
          <w:p w:rsidR="00996ED2" w:rsidRDefault="00996ED2" w:rsidP="001D39E8">
            <w:pPr>
              <w:ind w:left="11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="001D39E8">
              <w:rPr>
                <w:rFonts w:cs="Arial"/>
              </w:rPr>
              <w:t>I</w:t>
            </w:r>
            <w:r>
              <w:rPr>
                <w:rFonts w:cs="Arial"/>
              </w:rPr>
              <w:t>nvestimentos</w:t>
            </w:r>
          </w:p>
        </w:tc>
        <w:tc>
          <w:tcPr>
            <w:tcW w:w="2809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</w:rPr>
            </w:pPr>
            <w:r>
              <w:rPr>
                <w:rFonts w:cs="Arial"/>
              </w:rPr>
              <w:t>8.492.802,00</w:t>
            </w:r>
          </w:p>
        </w:tc>
      </w:tr>
      <w:tr w:rsidR="00996ED2" w:rsidTr="00AD2815">
        <w:tc>
          <w:tcPr>
            <w:tcW w:w="6736" w:type="dxa"/>
          </w:tcPr>
          <w:p w:rsidR="00996ED2" w:rsidRDefault="00996ED2" w:rsidP="001D39E8">
            <w:pPr>
              <w:ind w:left="11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Amortização da Dívida</w:t>
            </w:r>
          </w:p>
        </w:tc>
        <w:tc>
          <w:tcPr>
            <w:tcW w:w="2809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</w:rPr>
            </w:pPr>
            <w:r>
              <w:rPr>
                <w:rFonts w:cs="Arial"/>
              </w:rPr>
              <w:t>285.000,00</w:t>
            </w:r>
          </w:p>
        </w:tc>
      </w:tr>
      <w:tr w:rsidR="00996ED2" w:rsidTr="00AD2815">
        <w:tc>
          <w:tcPr>
            <w:tcW w:w="6736" w:type="dxa"/>
          </w:tcPr>
          <w:p w:rsidR="00996ED2" w:rsidRDefault="00996ED2" w:rsidP="001D39E8">
            <w:pPr>
              <w:ind w:left="1134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             </w:t>
            </w:r>
            <w:r>
              <w:rPr>
                <w:rFonts w:cs="Arial"/>
                <w:b/>
                <w:bCs/>
              </w:rPr>
              <w:t>RESERVA DE CONTINGÊNCIA</w:t>
            </w:r>
          </w:p>
        </w:tc>
        <w:tc>
          <w:tcPr>
            <w:tcW w:w="2809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5.000,00</w:t>
            </w:r>
          </w:p>
        </w:tc>
      </w:tr>
      <w:tr w:rsidR="00996ED2" w:rsidTr="00AD2815">
        <w:tc>
          <w:tcPr>
            <w:tcW w:w="6736" w:type="dxa"/>
          </w:tcPr>
          <w:p w:rsidR="00996ED2" w:rsidRDefault="00996ED2" w:rsidP="001D39E8">
            <w:pPr>
              <w:spacing w:after="120"/>
              <w:ind w:left="1134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             </w:t>
            </w:r>
            <w:r>
              <w:rPr>
                <w:rFonts w:cs="Arial"/>
                <w:b/>
                <w:bCs/>
              </w:rPr>
              <w:t>TOTAL</w:t>
            </w:r>
          </w:p>
        </w:tc>
        <w:tc>
          <w:tcPr>
            <w:tcW w:w="2809" w:type="dxa"/>
          </w:tcPr>
          <w:p w:rsidR="00996ED2" w:rsidRDefault="00996ED2" w:rsidP="00AD2815">
            <w:pPr>
              <w:ind w:left="1134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25.557.619,71</w:t>
            </w:r>
          </w:p>
        </w:tc>
      </w:tr>
    </w:tbl>
    <w:p w:rsidR="00996ED2" w:rsidRDefault="00996ED2" w:rsidP="001D39E8">
      <w:pPr>
        <w:tabs>
          <w:tab w:val="left" w:pos="1701"/>
        </w:tabs>
        <w:spacing w:after="120"/>
        <w:ind w:left="1134" w:firstLine="709"/>
        <w:jc w:val="both"/>
        <w:rPr>
          <w:rFonts w:cs="Arial"/>
        </w:rPr>
      </w:pPr>
      <w:r>
        <w:rPr>
          <w:rFonts w:cs="Arial"/>
          <w:b/>
        </w:rPr>
        <w:t>Art. 4º</w:t>
      </w:r>
      <w:proofErr w:type="gramStart"/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proofErr w:type="gramEnd"/>
      <w:r>
        <w:rPr>
          <w:rFonts w:cs="Arial"/>
        </w:rPr>
        <w:t>Os recursos da Reserva de Contingência são destinados ao atendimento dos passivos contingentes, intempéries e outros riscos e eventos fiscais imprevistos.</w:t>
      </w:r>
    </w:p>
    <w:p w:rsidR="00996ED2" w:rsidRDefault="00996ED2" w:rsidP="00996ED2">
      <w:pPr>
        <w:pStyle w:val="A020978"/>
        <w:spacing w:after="120"/>
        <w:ind w:left="1134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1° </w:t>
      </w:r>
      <w:r>
        <w:rPr>
          <w:rFonts w:ascii="Arial" w:hAnsi="Arial" w:cs="Arial"/>
        </w:rPr>
        <w:t xml:space="preserve"> A utilização dos recursos da Reserva de Contingência será feita por ato do Chefe do Poder Executivo Municipal, observado o limite para cada evento de riscos fiscais especificados no Anexo III da LDO - Lei de Diretrizes Orçamentárias.</w:t>
      </w:r>
    </w:p>
    <w:p w:rsidR="00996ED2" w:rsidRDefault="00996ED2" w:rsidP="00996ED2">
      <w:pPr>
        <w:pStyle w:val="A020978"/>
        <w:spacing w:after="120"/>
        <w:ind w:left="1134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2° </w:t>
      </w:r>
      <w:r>
        <w:rPr>
          <w:rFonts w:ascii="Arial" w:hAnsi="Arial" w:cs="Arial"/>
        </w:rPr>
        <w:t xml:space="preserve"> Para efeito desta Lei entende-se como “Outros Riscos e Eventos Fiscais Imprevistos”, as despesas diretamente relacionadas ao funcionamento e manutenção dos serviços de competência de cada uma das unidades gestoras não orçados ou orçados a menor.</w:t>
      </w:r>
    </w:p>
    <w:p w:rsidR="00996ED2" w:rsidRDefault="00996ED2" w:rsidP="00996ED2">
      <w:pPr>
        <w:pStyle w:val="A020978"/>
        <w:spacing w:after="120"/>
        <w:ind w:left="1134" w:firstLine="708"/>
        <w:rPr>
          <w:rFonts w:ascii="Arial" w:hAnsi="Arial" w:cs="Arial"/>
        </w:rPr>
      </w:pPr>
      <w:r>
        <w:rPr>
          <w:rFonts w:ascii="Arial" w:hAnsi="Arial" w:cs="Arial"/>
          <w:b/>
        </w:rPr>
        <w:t>§ 3º</w:t>
      </w:r>
      <w:proofErr w:type="gramStart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Não se efetivando até o dia 10/12/2016 os riscos fiscais relacionados a passivos contingentes e intempéries previstos neste artigo, os recursos a eles reservados poderão ser utilizados por ato do Chefe do Poder Executivo Municipal para atender “Outros Riscos e Eventos Fiscais Imprevistos”, conforme definido no § 2º deste artigo, desde que o Orçamento para 2017 tenha reservado recursos para os mesmos riscos fiscais.</w:t>
      </w:r>
    </w:p>
    <w:p w:rsidR="00996ED2" w:rsidRDefault="00996ED2" w:rsidP="00996ED2">
      <w:pPr>
        <w:spacing w:after="120"/>
        <w:ind w:left="1134" w:firstLine="708"/>
        <w:jc w:val="both"/>
        <w:rPr>
          <w:rFonts w:cs="Arial"/>
        </w:rPr>
      </w:pPr>
      <w:r>
        <w:rPr>
          <w:rFonts w:cs="Arial"/>
          <w:b/>
        </w:rPr>
        <w:t>Art. 5º</w:t>
      </w:r>
      <w:proofErr w:type="gramStart"/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proofErr w:type="gramEnd"/>
      <w:r>
        <w:rPr>
          <w:rFonts w:cs="Arial"/>
        </w:rPr>
        <w:t xml:space="preserve">Fica o Chefe de cada Poder autorizado a remanejar dotações de um elemento de despesa para outro, de um </w:t>
      </w:r>
      <w:r>
        <w:t>Grupo de Natureza de Despesa para outro, de uma Modalidade de Aplicação para outra</w:t>
      </w:r>
      <w:r>
        <w:rPr>
          <w:rFonts w:cs="Arial"/>
        </w:rPr>
        <w:t xml:space="preserve"> e de uma fonte de recurso para outra, observado o equilíbrio financeiro, dentro de cada projeto, atividade ou operações especiais.</w:t>
      </w:r>
    </w:p>
    <w:p w:rsidR="00996ED2" w:rsidRDefault="00996ED2" w:rsidP="00996ED2">
      <w:pPr>
        <w:spacing w:after="120"/>
        <w:ind w:left="1134" w:firstLine="708"/>
        <w:jc w:val="both"/>
        <w:rPr>
          <w:rFonts w:cs="Arial"/>
        </w:rPr>
      </w:pPr>
    </w:p>
    <w:p w:rsidR="00996ED2" w:rsidRDefault="00996ED2" w:rsidP="00996ED2">
      <w:pPr>
        <w:spacing w:after="120"/>
        <w:ind w:left="1134" w:firstLine="708"/>
        <w:jc w:val="both"/>
        <w:rPr>
          <w:rFonts w:cs="Arial"/>
        </w:rPr>
      </w:pPr>
    </w:p>
    <w:p w:rsidR="00996ED2" w:rsidRDefault="00996ED2" w:rsidP="00996ED2">
      <w:pPr>
        <w:spacing w:after="120"/>
        <w:ind w:left="1134" w:firstLine="708"/>
        <w:jc w:val="both"/>
        <w:rPr>
          <w:rFonts w:cs="Arial"/>
        </w:rPr>
      </w:pPr>
    </w:p>
    <w:p w:rsidR="00996ED2" w:rsidRDefault="00996ED2" w:rsidP="00996ED2">
      <w:pPr>
        <w:spacing w:after="120"/>
        <w:ind w:left="1134" w:firstLine="708"/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Art. 6º </w:t>
      </w:r>
      <w:r>
        <w:rPr>
          <w:rFonts w:cs="Arial"/>
        </w:rPr>
        <w:t xml:space="preserve"> O Poder Executivo está autorizado, nos termos do Art. 7° da Lei Federal n° 4.320/64, a abrir créditos adicionais suplementares, até o limite de 30% da Receita estimada, utilizando como fontes de recursos:</w:t>
      </w:r>
    </w:p>
    <w:p w:rsidR="00996ED2" w:rsidRDefault="00996ED2" w:rsidP="00996ED2">
      <w:pPr>
        <w:spacing w:after="120"/>
        <w:ind w:left="1134" w:firstLine="708"/>
        <w:jc w:val="both"/>
        <w:rPr>
          <w:rFonts w:cs="Arial"/>
        </w:rPr>
      </w:pPr>
      <w:r>
        <w:rPr>
          <w:rFonts w:cs="Arial"/>
        </w:rPr>
        <w:t>I - o excesso ou provável excesso de arrecadação, verificado por fonte de recursos, na forma dos §§ 3º e 4º do art. 43 da Lei 4.320/64;</w:t>
      </w:r>
    </w:p>
    <w:p w:rsidR="00996ED2" w:rsidRDefault="00996ED2" w:rsidP="00996ED2">
      <w:pPr>
        <w:spacing w:after="120"/>
        <w:ind w:left="1134" w:firstLine="708"/>
        <w:jc w:val="both"/>
        <w:rPr>
          <w:rFonts w:cs="Arial"/>
        </w:rPr>
      </w:pPr>
      <w:r>
        <w:rPr>
          <w:rFonts w:cs="Arial"/>
        </w:rPr>
        <w:t>II – o superávit financeiro do exercício anterior na forma do § 2º do art. 43 da Lei 4.320/64; e</w:t>
      </w:r>
    </w:p>
    <w:p w:rsidR="00996ED2" w:rsidRDefault="00996ED2" w:rsidP="00996ED2">
      <w:pPr>
        <w:pStyle w:val="A011278"/>
        <w:spacing w:after="120"/>
        <w:ind w:left="1134" w:firstLine="708"/>
        <w:rPr>
          <w:rFonts w:ascii="Arial" w:hAnsi="Arial" w:cs="Arial"/>
        </w:rPr>
      </w:pPr>
      <w:r>
        <w:rPr>
          <w:rFonts w:ascii="Arial" w:hAnsi="Arial" w:cs="Arial"/>
          <w:b/>
        </w:rPr>
        <w:t>Parágrafo único.</w:t>
      </w:r>
      <w:r>
        <w:rPr>
          <w:rFonts w:ascii="Arial" w:hAnsi="Arial" w:cs="Arial"/>
        </w:rPr>
        <w:t xml:space="preserve"> Excluem-se desse limite, os créditos adicionais suplementares, decorrentes de leis municipais específicas aprovadas no exercício.</w:t>
      </w:r>
    </w:p>
    <w:p w:rsidR="00996ED2" w:rsidRDefault="00996ED2" w:rsidP="00996ED2">
      <w:pPr>
        <w:pStyle w:val="A011278"/>
        <w:spacing w:after="120"/>
        <w:ind w:left="1134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7º </w:t>
      </w:r>
      <w:r>
        <w:rPr>
          <w:rFonts w:ascii="Arial" w:hAnsi="Arial" w:cs="Arial"/>
        </w:rPr>
        <w:t xml:space="preserve"> As despesas por conta de dotações vinculadas a convênios, operações de créditos e outras receitas de realização extraordinária só serão executadas ou utilizadas de alguma forma, se estiver assegurado o seu ingresso no fluxo de caixa.</w:t>
      </w:r>
    </w:p>
    <w:p w:rsidR="00996ED2" w:rsidRDefault="001D39E8" w:rsidP="00996ED2">
      <w:pPr>
        <w:tabs>
          <w:tab w:val="left" w:pos="-709"/>
        </w:tabs>
        <w:spacing w:after="120"/>
        <w:ind w:left="1134"/>
        <w:jc w:val="both"/>
        <w:rPr>
          <w:rFonts w:cs="Arial"/>
          <w:b/>
        </w:rPr>
      </w:pPr>
      <w:r>
        <w:rPr>
          <w:rFonts w:cs="Arial"/>
          <w:b/>
        </w:rPr>
        <w:t xml:space="preserve">   </w:t>
      </w:r>
      <w:r w:rsidR="00996ED2">
        <w:rPr>
          <w:rFonts w:cs="Arial"/>
          <w:b/>
        </w:rPr>
        <w:tab/>
      </w:r>
      <w:r>
        <w:rPr>
          <w:rFonts w:cs="Arial"/>
          <w:b/>
        </w:rPr>
        <w:t xml:space="preserve">       </w:t>
      </w:r>
      <w:r w:rsidR="00996ED2">
        <w:rPr>
          <w:rFonts w:cs="Arial"/>
          <w:b/>
        </w:rPr>
        <w:t>Art. 8º</w:t>
      </w:r>
      <w:proofErr w:type="gramStart"/>
      <w:r w:rsidR="00996ED2">
        <w:rPr>
          <w:rFonts w:cs="Arial"/>
          <w:b/>
        </w:rPr>
        <w:t xml:space="preserve"> </w:t>
      </w:r>
      <w:r w:rsidR="00996ED2">
        <w:rPr>
          <w:rFonts w:cs="Arial"/>
        </w:rPr>
        <w:t xml:space="preserve"> </w:t>
      </w:r>
      <w:proofErr w:type="gramEnd"/>
      <w:r w:rsidR="00996ED2">
        <w:rPr>
          <w:rFonts w:cs="Arial"/>
        </w:rPr>
        <w:t>Os recursos oriundos de convênios, operações de crédito e outras receitas de realização extraordinária, não previstos no orçamento da Receita, ou o seu excesso, poderão ser utilizados como fontes de recursos para abertura de créditos adicionais suplementares de projetos, atividades ou operações especiais por ato do Chefe do Poder Executivo Municipal.</w:t>
      </w:r>
    </w:p>
    <w:p w:rsidR="00996ED2" w:rsidRDefault="00996ED2" w:rsidP="00996ED2">
      <w:pPr>
        <w:spacing w:after="120"/>
        <w:ind w:left="1134" w:firstLine="708"/>
        <w:jc w:val="both"/>
        <w:rPr>
          <w:rFonts w:cs="Arial"/>
        </w:rPr>
      </w:pPr>
      <w:r>
        <w:rPr>
          <w:rFonts w:cs="Arial"/>
          <w:b/>
        </w:rPr>
        <w:t xml:space="preserve">Art. 9º  </w:t>
      </w:r>
      <w:r>
        <w:rPr>
          <w:rFonts w:cs="Arial"/>
          <w:bCs/>
        </w:rPr>
        <w:t>As R</w:t>
      </w:r>
      <w:r>
        <w:rPr>
          <w:rFonts w:cs="Arial"/>
        </w:rPr>
        <w:t>eceitas de convênios, operações de crédito e outras de realização extraordinária, não serão consideradas para efeito de apuração do excesso de arrecadação para fins de abertura de créditos adicionais suplementares e especiais.</w:t>
      </w:r>
    </w:p>
    <w:p w:rsidR="00996ED2" w:rsidRDefault="00996ED2" w:rsidP="00996ED2">
      <w:pPr>
        <w:spacing w:after="120"/>
        <w:ind w:left="1134" w:firstLine="708"/>
        <w:jc w:val="both"/>
        <w:rPr>
          <w:rFonts w:cs="Arial"/>
        </w:rPr>
      </w:pPr>
      <w:r>
        <w:rPr>
          <w:rFonts w:cs="Arial"/>
          <w:b/>
        </w:rPr>
        <w:t xml:space="preserve">Art. 10  </w:t>
      </w:r>
      <w:r>
        <w:rPr>
          <w:rFonts w:cs="Arial"/>
        </w:rPr>
        <w:t>Durante o exercício de 2016 o Poder Executivo Municipal poderá realizar Operações de Crédito para financiamento de programas priorizados nesta lei.</w:t>
      </w:r>
    </w:p>
    <w:p w:rsidR="00996ED2" w:rsidRDefault="00996ED2" w:rsidP="00996ED2">
      <w:pPr>
        <w:ind w:left="1134" w:firstLine="708"/>
        <w:jc w:val="both"/>
        <w:rPr>
          <w:rFonts w:cs="Arial"/>
        </w:rPr>
      </w:pPr>
      <w:r>
        <w:rPr>
          <w:rFonts w:cs="Arial"/>
          <w:b/>
        </w:rPr>
        <w:t xml:space="preserve">Art. 11 </w:t>
      </w:r>
      <w:r>
        <w:rPr>
          <w:rFonts w:cs="Arial"/>
        </w:rPr>
        <w:t xml:space="preserve"> A presente Lei vigorará durante o exercício de 2016, a partir de 1° de janeiro.</w:t>
      </w:r>
    </w:p>
    <w:p w:rsidR="00996ED2" w:rsidRDefault="00996ED2" w:rsidP="00996ED2">
      <w:pPr>
        <w:ind w:left="1134"/>
        <w:jc w:val="both"/>
        <w:rPr>
          <w:rFonts w:cs="Arial"/>
        </w:rPr>
      </w:pPr>
    </w:p>
    <w:p w:rsidR="00996ED2" w:rsidRPr="00F76BE4" w:rsidRDefault="00996ED2" w:rsidP="00996ED2">
      <w:pPr>
        <w:ind w:left="1134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F76BE4">
        <w:rPr>
          <w:rFonts w:cs="Arial"/>
        </w:rPr>
        <w:t xml:space="preserve">Praia Grande, </w:t>
      </w:r>
      <w:r w:rsidR="00BB20E3">
        <w:rPr>
          <w:rFonts w:cs="Arial"/>
        </w:rPr>
        <w:t>11</w:t>
      </w:r>
      <w:r w:rsidR="00957A18">
        <w:rPr>
          <w:rFonts w:cs="Arial"/>
        </w:rPr>
        <w:t xml:space="preserve"> de Dezembro de 2015</w:t>
      </w:r>
      <w:r w:rsidRPr="00F76BE4">
        <w:rPr>
          <w:rFonts w:cs="Arial"/>
        </w:rPr>
        <w:t>.</w:t>
      </w:r>
    </w:p>
    <w:p w:rsidR="00996ED2" w:rsidRDefault="00996ED2" w:rsidP="00996ED2">
      <w:pPr>
        <w:ind w:left="1134"/>
        <w:jc w:val="both"/>
        <w:rPr>
          <w:rFonts w:cs="Arial"/>
        </w:rPr>
      </w:pPr>
    </w:p>
    <w:p w:rsidR="00996ED2" w:rsidRDefault="00996ED2" w:rsidP="00996ED2">
      <w:pPr>
        <w:ind w:left="1134"/>
        <w:jc w:val="both"/>
        <w:rPr>
          <w:rFonts w:cs="Arial"/>
        </w:rPr>
      </w:pPr>
    </w:p>
    <w:p w:rsidR="00996ED2" w:rsidRDefault="00996ED2" w:rsidP="00996ED2">
      <w:pPr>
        <w:jc w:val="both"/>
        <w:rPr>
          <w:rFonts w:cs="Arial"/>
        </w:rPr>
      </w:pPr>
    </w:p>
    <w:p w:rsidR="00996ED2" w:rsidRPr="003A5992" w:rsidRDefault="00996ED2" w:rsidP="00996ED2">
      <w:pPr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Valcir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Daros</w:t>
      </w:r>
      <w:proofErr w:type="spellEnd"/>
    </w:p>
    <w:p w:rsidR="00996ED2" w:rsidRDefault="00996ED2" w:rsidP="00996ED2">
      <w:pPr>
        <w:jc w:val="center"/>
        <w:rPr>
          <w:rFonts w:cs="Arial"/>
          <w:b/>
        </w:rPr>
      </w:pPr>
      <w:r w:rsidRPr="003A5992">
        <w:rPr>
          <w:rFonts w:cs="Arial"/>
          <w:b/>
        </w:rPr>
        <w:t>Prefeito Municipal</w:t>
      </w:r>
    </w:p>
    <w:p w:rsidR="00957A18" w:rsidRDefault="00957A18" w:rsidP="00996ED2">
      <w:pPr>
        <w:jc w:val="center"/>
        <w:rPr>
          <w:rFonts w:cs="Arial"/>
          <w:b/>
        </w:rPr>
      </w:pPr>
    </w:p>
    <w:p w:rsidR="00957A18" w:rsidRDefault="00957A18" w:rsidP="00996ED2">
      <w:pPr>
        <w:jc w:val="center"/>
        <w:rPr>
          <w:rFonts w:cs="Arial"/>
        </w:rPr>
      </w:pPr>
      <w:r w:rsidRPr="00957A18">
        <w:rPr>
          <w:rFonts w:cs="Arial"/>
        </w:rPr>
        <w:t>Publicada e registrada nesta Secretaria na data supra.</w:t>
      </w:r>
    </w:p>
    <w:p w:rsidR="00957A18" w:rsidRPr="00957A18" w:rsidRDefault="00957A18" w:rsidP="00996ED2">
      <w:pPr>
        <w:jc w:val="center"/>
        <w:rPr>
          <w:rFonts w:cs="Arial"/>
        </w:rPr>
      </w:pPr>
    </w:p>
    <w:p w:rsidR="00957A18" w:rsidRDefault="00957A18" w:rsidP="00996ED2">
      <w:pPr>
        <w:jc w:val="center"/>
        <w:rPr>
          <w:rFonts w:cs="Arial"/>
          <w:b/>
        </w:rPr>
      </w:pPr>
    </w:p>
    <w:p w:rsidR="00957A18" w:rsidRDefault="00957A18" w:rsidP="00996ED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Ana </w:t>
      </w:r>
      <w:proofErr w:type="spellStart"/>
      <w:r>
        <w:rPr>
          <w:rFonts w:cs="Arial"/>
          <w:b/>
        </w:rPr>
        <w:t>Bellettini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Citadin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Klock</w:t>
      </w:r>
      <w:proofErr w:type="spellEnd"/>
    </w:p>
    <w:p w:rsidR="00957A18" w:rsidRPr="003A5992" w:rsidRDefault="00957A18" w:rsidP="00996ED2">
      <w:pPr>
        <w:jc w:val="center"/>
        <w:rPr>
          <w:rFonts w:cs="Arial"/>
          <w:b/>
        </w:rPr>
      </w:pPr>
      <w:r>
        <w:rPr>
          <w:rFonts w:cs="Arial"/>
          <w:b/>
        </w:rPr>
        <w:t>Secretária Administração e Finanças</w:t>
      </w:r>
    </w:p>
    <w:p w:rsidR="00996ED2" w:rsidRDefault="00996ED2" w:rsidP="00996ED2">
      <w:pPr>
        <w:rPr>
          <w:rFonts w:cs="Arial"/>
        </w:rPr>
      </w:pPr>
    </w:p>
    <w:p w:rsidR="006D7617" w:rsidRDefault="006D7617"/>
    <w:sectPr w:rsidR="006D7617" w:rsidSect="006348EF">
      <w:pgSz w:w="12240" w:h="15840"/>
      <w:pgMar w:top="1985" w:right="907" w:bottom="510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6ED2"/>
    <w:rsid w:val="00040CAB"/>
    <w:rsid w:val="0009010E"/>
    <w:rsid w:val="00150C2B"/>
    <w:rsid w:val="001D39E8"/>
    <w:rsid w:val="0027235E"/>
    <w:rsid w:val="004065A1"/>
    <w:rsid w:val="006348EF"/>
    <w:rsid w:val="00646F09"/>
    <w:rsid w:val="0069744F"/>
    <w:rsid w:val="006D7617"/>
    <w:rsid w:val="0078243C"/>
    <w:rsid w:val="00957A18"/>
    <w:rsid w:val="00996ED2"/>
    <w:rsid w:val="00B23FBE"/>
    <w:rsid w:val="00BB20E3"/>
    <w:rsid w:val="00F3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D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96ED2"/>
    <w:pPr>
      <w:jc w:val="center"/>
    </w:pPr>
    <w:rPr>
      <w:rFonts w:ascii="Times New Roman" w:hAnsi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996ED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96ED2"/>
    <w:pPr>
      <w:ind w:left="2124"/>
      <w:jc w:val="both"/>
    </w:pPr>
    <w:rPr>
      <w:rFonts w:ascii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96ED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96ED2"/>
    <w:pPr>
      <w:spacing w:after="120"/>
      <w:ind w:firstLine="709"/>
      <w:jc w:val="both"/>
    </w:pPr>
    <w:rPr>
      <w:rFonts w:ascii="Times New Roman" w:hAnsi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96ED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020978">
    <w:name w:val="_A020978"/>
    <w:rsid w:val="00996ED2"/>
    <w:pPr>
      <w:widowControl w:val="0"/>
      <w:spacing w:after="0" w:line="240" w:lineRule="auto"/>
      <w:ind w:left="1152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1278">
    <w:name w:val="_A011278"/>
    <w:rsid w:val="00996ED2"/>
    <w:pPr>
      <w:widowControl w:val="0"/>
      <w:spacing w:after="0" w:line="240" w:lineRule="auto"/>
      <w:ind w:left="1584" w:hanging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Carminha</cp:lastModifiedBy>
  <cp:revision>2</cp:revision>
  <cp:lastPrinted>2015-12-16T18:01:00Z</cp:lastPrinted>
  <dcterms:created xsi:type="dcterms:W3CDTF">2016-02-16T19:29:00Z</dcterms:created>
  <dcterms:modified xsi:type="dcterms:W3CDTF">2016-02-16T19:29:00Z</dcterms:modified>
</cp:coreProperties>
</file>